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96" w:rsidRPr="00320821" w:rsidRDefault="00093A96" w:rsidP="00093A9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093A96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 xml:space="preserve"> </w:t>
      </w:r>
      <w:r w:rsidRPr="00F95657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ANNUAL REPORT OF THE ISSUER FOR 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18</w:t>
      </w:r>
      <w:r w:rsidRPr="0032082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 xml:space="preserve">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year</w:t>
      </w:r>
    </w:p>
    <w:p w:rsidR="00093A96" w:rsidRPr="00093A96" w:rsidRDefault="00093A96" w:rsidP="00093A9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67"/>
        <w:gridCol w:w="3833"/>
      </w:tblGrid>
      <w:tr w:rsidR="00093A96" w:rsidRPr="00093A96" w:rsidTr="00093A9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</w:tr>
      <w:tr w:rsidR="00093A96" w:rsidRPr="00093A96" w:rsidTr="00093A9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6204DE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093A96" w:rsidRPr="00093A96" w:rsidTr="00093A9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3A9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3A9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93A96" w:rsidRPr="00093A96" w:rsidTr="00093A9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93A96" w:rsidRPr="00093A96" w:rsidTr="00093A9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lang w:val="en-US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A35F0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A35F0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093A96" w:rsidRPr="00093A96" w:rsidTr="00093A96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the financial and economic condition of the issuer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3,335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Ratio of own and attracted funds, </w:t>
            </w: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0,236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95657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coefficient of renewal of fixed assets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3,321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21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1276"/>
        <w:gridCol w:w="1278"/>
        <w:gridCol w:w="1391"/>
        <w:gridCol w:w="1812"/>
        <w:gridCol w:w="1485"/>
        <w:gridCol w:w="1711"/>
      </w:tblGrid>
      <w:tr w:rsidR="00093A96" w:rsidRPr="00093A96" w:rsidTr="00093A96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E78B6" w:rsidRDefault="00093A96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date of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entry into office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 NAME.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Issuing body that made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Elected (appointed) / withdrawn from membership (dismissed, expiration of term of office)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B5BED" w:rsidRDefault="00093A96" w:rsidP="00F1021E">
            <w:proofErr w:type="spellStart"/>
            <w:r w:rsidRPr="00FB5BED">
              <w:t>Khudoykulov</w:t>
            </w:r>
            <w:proofErr w:type="spellEnd"/>
            <w:r w:rsidRPr="00FB5BED">
              <w:t xml:space="preserve"> </w:t>
            </w:r>
            <w:proofErr w:type="spellStart"/>
            <w:r w:rsidRPr="00FB5BED">
              <w:t>Usmon</w:t>
            </w:r>
            <w:proofErr w:type="spellEnd"/>
            <w:r w:rsidRPr="00FB5BED">
              <w:t xml:space="preserve"> </w:t>
            </w:r>
            <w:proofErr w:type="spellStart"/>
            <w:r w:rsidRPr="00FB5BED">
              <w:t>Chinazovich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B437CC">
            <w:pPr>
              <w:rPr>
                <w:lang w:val="en-US"/>
              </w:rPr>
            </w:pPr>
            <w:r w:rsidRPr="00093A96">
              <w:rPr>
                <w:lang w:val="en-US"/>
              </w:rPr>
              <w:t>Deputy Head of the Legal Department of JSC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166832" w:rsidRDefault="00093A96" w:rsidP="006B5ECE">
            <w:proofErr w:type="spellStart"/>
            <w:r w:rsidRPr="00166832">
              <w:t>retired</w:t>
            </w:r>
            <w:proofErr w:type="spellEnd"/>
            <w:r w:rsidRPr="00166832">
              <w:t xml:space="preserve"> (</w:t>
            </w:r>
            <w:proofErr w:type="spellStart"/>
            <w:r w:rsidRPr="00166832">
              <w:t>fired</w:t>
            </w:r>
            <w:proofErr w:type="spellEnd"/>
            <w:r w:rsidRPr="00166832">
              <w:t>)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Default="00093A96" w:rsidP="00F1021E">
            <w:proofErr w:type="spellStart"/>
            <w:r w:rsidRPr="00FB5BED">
              <w:t>Dosmetov</w:t>
            </w:r>
            <w:proofErr w:type="spellEnd"/>
            <w:r w:rsidRPr="00FB5BED">
              <w:t xml:space="preserve"> </w:t>
            </w:r>
            <w:proofErr w:type="spellStart"/>
            <w:r w:rsidRPr="00FB5BED">
              <w:t>Ulugbek</w:t>
            </w:r>
            <w:proofErr w:type="spellEnd"/>
            <w:r w:rsidRPr="00FB5BED">
              <w:t xml:space="preserve"> </w:t>
            </w:r>
            <w:proofErr w:type="spellStart"/>
            <w:r w:rsidRPr="00FB5BED">
              <w:t>Sultanbay</w:t>
            </w:r>
            <w:proofErr w:type="spellEnd"/>
            <w:r w:rsidRPr="00FB5BED">
              <w:t xml:space="preserve"> </w:t>
            </w:r>
            <w:proofErr w:type="spellStart"/>
            <w:r w:rsidRPr="00FB5BED">
              <w:t>ugli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B437CC">
            <w:pPr>
              <w:rPr>
                <w:lang w:val="en-US"/>
              </w:rPr>
            </w:pPr>
            <w:r w:rsidRPr="00093A96">
              <w:rPr>
                <w:lang w:val="en-US"/>
              </w:rPr>
              <w:t>Manager for the analysis of information flows, the formation of a database and ensuring the safety of information JSC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Default="00093A96" w:rsidP="006B5ECE">
            <w:proofErr w:type="spellStart"/>
            <w:r w:rsidRPr="00166832">
              <w:t>Elected</w:t>
            </w:r>
            <w:proofErr w:type="spellEnd"/>
            <w:r w:rsidRPr="00166832">
              <w:t xml:space="preserve"> (</w:t>
            </w:r>
            <w:proofErr w:type="spellStart"/>
            <w:r w:rsidRPr="00166832">
              <w:t>appointed</w:t>
            </w:r>
            <w:proofErr w:type="spellEnd"/>
            <w:r w:rsidRPr="00166832">
              <w:t>)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3111"/>
        <w:gridCol w:w="1145"/>
        <w:gridCol w:w="1699"/>
        <w:gridCol w:w="1767"/>
      </w:tblGrid>
      <w:tr w:rsidR="00093A96" w:rsidRPr="00093A96" w:rsidTr="00093A96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Information on the important facts for the year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essential fact occurrence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publication of essential fact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of location (postal address)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A7C62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body of the issuer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95657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95657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F95657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A7C62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30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5587"/>
        <w:gridCol w:w="605"/>
        <w:gridCol w:w="1398"/>
        <w:gridCol w:w="1398"/>
      </w:tblGrid>
      <w:tr w:rsidR="00093A96" w:rsidRPr="00093A96" w:rsidTr="00093A96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8885432.00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10904206.00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6490410.00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6931243.00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3972963.00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4009743.00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7572900.00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1129485.00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5316273.00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10732855.00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1986797.00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2060937.00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5853130.00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5940114.00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3808443.00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976618.00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9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620"/>
        <w:gridCol w:w="605"/>
        <w:gridCol w:w="1398"/>
        <w:gridCol w:w="1398"/>
        <w:gridCol w:w="1398"/>
        <w:gridCol w:w="1398"/>
      </w:tblGrid>
      <w:tr w:rsidR="00093A96" w:rsidRPr="00093A96" w:rsidTr="00093A96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DB3A25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26049235.00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39260747.00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24293641.00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36950578.00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1755594.00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5626002.00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1740854.00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2257886.00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3368116.00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40862.00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375"/>
        <w:gridCol w:w="906"/>
        <w:gridCol w:w="902"/>
        <w:gridCol w:w="1197"/>
        <w:gridCol w:w="1009"/>
        <w:gridCol w:w="898"/>
        <w:gridCol w:w="1453"/>
        <w:gridCol w:w="1375"/>
      </w:tblGrid>
      <w:tr w:rsidR="00093A96" w:rsidRPr="00093A96" w:rsidTr="00093A96">
        <w:tc>
          <w:tcPr>
            <w:tcW w:w="3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audit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conclusion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issue of the auditor's report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auditor(s) who conducted the audit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“KOMIL - ISHONCH”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Positive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Baymuradov</w:t>
            </w:r>
            <w:proofErr w:type="spellEnd"/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X.V.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93A9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093A96" w:rsidRPr="00093A96" w:rsidRDefault="00093A96" w:rsidP="00093A9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930"/>
        <w:gridCol w:w="1833"/>
        <w:gridCol w:w="2314"/>
        <w:gridCol w:w="1644"/>
      </w:tblGrid>
      <w:tr w:rsidR="00093A96" w:rsidRPr="00093A96" w:rsidTr="00093A96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6204DE" w:rsidRDefault="00093A96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affiliates (as of the end of the reporting year)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or complete name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 (residence) (state, region, city, district)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basis on which they are recognized as affiliates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AD5CAA" w:rsidRDefault="00093A96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(of the foundation(s)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A81E95">
            <w:pPr>
              <w:rPr>
                <w:lang w:val="en-US"/>
              </w:rPr>
            </w:pPr>
            <w:r w:rsidRPr="00093A96">
              <w:rPr>
                <w:lang w:val="en-US"/>
              </w:rPr>
              <w:t>Joint-stock company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Owns more than 20% of shares in the authorized capital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Turamuratov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Ilhombay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Bekchanovich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Akhmedov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Ergashboy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Mahmudov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Aziz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Bahodirovich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Nazarova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Dildor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Timurovna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Subanov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Ibroxim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Mirzaalievich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Khudoyarova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Arzu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Murshidovna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Burkhanova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Nasiba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Kaxkharovna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Muzafarov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Sherzod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Qobil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ogli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542860" w:rsidRDefault="00093A96" w:rsidP="00A81E95">
            <w:proofErr w:type="spellStart"/>
            <w:r w:rsidRPr="00542860">
              <w:t>Dostmetov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Ulugbek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Sultanbay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ugli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093A96" w:rsidRPr="00093A96" w:rsidTr="00093A9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Default="00093A96" w:rsidP="00A81E95">
            <w:proofErr w:type="spellStart"/>
            <w:r w:rsidRPr="00542860">
              <w:t>Atadjanov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Shamurat</w:t>
            </w:r>
            <w:proofErr w:type="spellEnd"/>
            <w:r w:rsidRPr="00542860">
              <w:t xml:space="preserve"> </w:t>
            </w:r>
            <w:proofErr w:type="spellStart"/>
            <w:r w:rsidRPr="00542860">
              <w:t>Khangeldievich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320821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2713EA" w:rsidRDefault="00093A96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director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93A96" w:rsidRPr="00093A96" w:rsidRDefault="00093A96" w:rsidP="000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93A96"/>
    <w:rsid w:val="00093A96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A96"/>
    <w:rPr>
      <w:b/>
      <w:bCs/>
    </w:rPr>
  </w:style>
  <w:style w:type="character" w:styleId="a4">
    <w:name w:val="Hyperlink"/>
    <w:basedOn w:val="a0"/>
    <w:uiPriority w:val="99"/>
    <w:semiHidden/>
    <w:unhideWhenUsed/>
    <w:rsid w:val="00093A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158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1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8%D0%B9_%D0%BE%D1%82%D1%87%D1%91%D1%82_%D0%BF%D0%BE_%D0%9D%D0%A1%D0%90%D0%A3_%D0%B7%D0%B0_2017_%D0%B3%D0%BE%D0%B4_ZkEsG4O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2022-03-08T18:00:00Z</dcterms:created>
  <dcterms:modified xsi:type="dcterms:W3CDTF">2022-03-08T18:06:00Z</dcterms:modified>
</cp:coreProperties>
</file>